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CA24A"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別表第1(第4、5条関係)</w:t>
      </w:r>
    </w:p>
    <w:tbl>
      <w:tblPr>
        <w:tblW w:w="0" w:type="auto"/>
        <w:tblCellMar>
          <w:top w:w="15" w:type="dxa"/>
          <w:left w:w="15" w:type="dxa"/>
          <w:bottom w:w="15" w:type="dxa"/>
          <w:right w:w="15" w:type="dxa"/>
        </w:tblCellMar>
        <w:tblLook w:val="04A0" w:firstRow="1" w:lastRow="0" w:firstColumn="1" w:lastColumn="0" w:noHBand="0" w:noVBand="1"/>
      </w:tblPr>
      <w:tblGrid>
        <w:gridCol w:w="642"/>
        <w:gridCol w:w="2338"/>
        <w:gridCol w:w="2017"/>
        <w:gridCol w:w="1840"/>
        <w:gridCol w:w="1615"/>
        <w:gridCol w:w="36"/>
      </w:tblGrid>
      <w:tr w:rsidR="00D308F2" w:rsidRPr="00D308F2" w14:paraId="25D86686" w14:textId="77777777" w:rsidTr="00D308F2">
        <w:trPr>
          <w:gridAfter w:val="1"/>
          <w:trHeight w:val="240"/>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4AAB7FD"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bookmarkStart w:id="0" w:name="13000089101000000016"/>
            <w:bookmarkStart w:id="1" w:name="13000089101000000017"/>
            <w:bookmarkStart w:id="2" w:name="13000089101000000018"/>
            <w:bookmarkEnd w:id="0"/>
            <w:bookmarkEnd w:id="1"/>
            <w:bookmarkEnd w:id="2"/>
            <w:r w:rsidRPr="00D308F2">
              <w:rPr>
                <w:rFonts w:ascii="ＭＳ Ｐゴシック" w:eastAsia="ＭＳ Ｐゴシック" w:hAnsi="ＭＳ Ｐゴシック" w:cs="ＭＳ Ｐゴシック"/>
                <w:kern w:val="0"/>
                <w:sz w:val="24"/>
                <w:szCs w:val="24"/>
              </w:rPr>
              <w:t>補助事業名</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4614D35"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木造住宅耐震改修設計費補助事業</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3DBE477"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非木造住宅耐震改修設計費補助事業</w:t>
            </w:r>
          </w:p>
        </w:tc>
      </w:tr>
      <w:tr w:rsidR="00D308F2" w:rsidRPr="00D308F2" w14:paraId="60B306E1" w14:textId="77777777" w:rsidTr="00D308F2">
        <w:trPr>
          <w:gridAfter w:val="1"/>
          <w:trHeight w:val="240"/>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9E1EC7B"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補助対象経費</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B3A27A9"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既存木造住宅の所有者が登録設計事務所に依頼して行った耐震改修設計に要した経費</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1107DB3"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既存非木造住宅の所有者が建築士事務所に依頼して行った耐震改修設計に要した経費</w:t>
            </w:r>
          </w:p>
        </w:tc>
      </w:tr>
      <w:tr w:rsidR="00D308F2" w:rsidRPr="00D308F2" w14:paraId="7D1D7061" w14:textId="77777777" w:rsidTr="00D308F2">
        <w:trPr>
          <w:gridAfter w:val="1"/>
          <w:trHeight w:val="240"/>
        </w:trPr>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F1BD12F"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補助要件</w:t>
            </w:r>
          </w:p>
        </w:tc>
        <w:tc>
          <w:tcPr>
            <w:tcW w:w="0" w:type="auto"/>
            <w:gridSpan w:val="4"/>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934E40B"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次に掲げる事項の全てに該当するもの</w:t>
            </w:r>
          </w:p>
        </w:tc>
      </w:tr>
      <w:tr w:rsidR="00D308F2" w:rsidRPr="00D308F2" w14:paraId="536AABC2" w14:textId="77777777" w:rsidTr="00D308F2">
        <w:trPr>
          <w:gridAfter w:val="1"/>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D6D3923"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235F651"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①耐震診断士が設計するもの</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B374BFB"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①構造設計一級建築士等が設計するもの</w:t>
            </w:r>
          </w:p>
        </w:tc>
      </w:tr>
      <w:tr w:rsidR="00D308F2" w:rsidRPr="00D308F2" w14:paraId="715C120B" w14:textId="77777777" w:rsidTr="00D308F2">
        <w:trPr>
          <w:gridAfter w:val="1"/>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4C0792"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5CB3A91"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②耐震診断士が木造住宅耐震診断事業の結果、上部構造評点のうち最小の値(以下「評点」という。)が1.0未満と診断された住宅に係るもの</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0928DF0"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②非木造住宅耐震診断事業の結果、「安全でない」と判断された住宅に係るもの</w:t>
            </w:r>
          </w:p>
        </w:tc>
      </w:tr>
      <w:tr w:rsidR="00D308F2" w:rsidRPr="00D308F2" w14:paraId="54649DA8" w14:textId="77777777" w:rsidTr="00D308F2">
        <w:trPr>
          <w:gridAfter w:val="1"/>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42D1260"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026D9C0"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③耐震診断士が認定ソフトの精密診断法により診断し、改修後の評点が1.0以上となるもの又は県が別に認めたもの</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D7C4B60"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③耐震改修計画について構造設計一級建築士等により「安全性」が確認されたもの</w:t>
            </w:r>
          </w:p>
        </w:tc>
      </w:tr>
      <w:tr w:rsidR="00D308F2" w:rsidRPr="00D308F2" w14:paraId="225D3130" w14:textId="77777777" w:rsidTr="00D308F2">
        <w:trPr>
          <w:gridAfter w:val="1"/>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30120F4"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D5A1232"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④当該設計により改修工事を行うもの。ただし、やむを得ない事情がある場合は、この限りでない。</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378F50A"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④当該設計により改修工事を行うもの。ただし、やむを得ない事情がある場合は、この限りでない。</w:t>
            </w:r>
          </w:p>
        </w:tc>
      </w:tr>
      <w:tr w:rsidR="00D308F2" w:rsidRPr="00D308F2" w14:paraId="1528E864" w14:textId="77777777" w:rsidTr="00D308F2">
        <w:trPr>
          <w:gridAfter w:val="1"/>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C34CCE3"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4"/>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0A5011F"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対象となる既存住宅に、明らかな法令違反がないこと。ただし、耐震改修工事に伴い、法令違反を是正する場合を除く。</w:t>
            </w:r>
          </w:p>
        </w:tc>
      </w:tr>
      <w:tr w:rsidR="00D308F2" w:rsidRPr="00D308F2" w14:paraId="5A72C01D" w14:textId="77777777" w:rsidTr="00D308F2">
        <w:trPr>
          <w:gridAfter w:val="1"/>
          <w:trHeight w:val="240"/>
        </w:trPr>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D680DE8"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補助額(上限)</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BEA655A"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戸建住宅及び併用住宅</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A3F395C"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共同住宅及び長屋</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6886E71"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戸建住宅及び併用住宅</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B01ADBC"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共同住宅及び長屋</w:t>
            </w:r>
          </w:p>
        </w:tc>
      </w:tr>
      <w:tr w:rsidR="00D308F2" w:rsidRPr="00D308F2" w14:paraId="0D8A3CD1" w14:textId="77777777" w:rsidTr="00D308F2">
        <w:trPr>
          <w:gridAfter w:val="1"/>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F4108ED"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D00579E"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330,000円／棟</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12E3B6B"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400,000円／棟</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5AA2474"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330,000円／棟</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B4552E7"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400,000円／棟</w:t>
            </w:r>
          </w:p>
        </w:tc>
      </w:tr>
      <w:tr w:rsidR="00D308F2" w:rsidRPr="00D308F2" w14:paraId="0E796703" w14:textId="77777777" w:rsidTr="00D308F2">
        <w:trPr>
          <w:gridAfter w:val="1"/>
          <w:trHeight w:val="60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B4BC9B0"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4"/>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5851B68"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補助金の額に1,000円未満の端数を生じた場合は、これを切り捨てる。</w:t>
            </w:r>
          </w:p>
        </w:tc>
      </w:tr>
      <w:tr w:rsidR="00D308F2" w:rsidRPr="00D308F2" w14:paraId="40207BCD" w14:textId="77777777" w:rsidTr="00D308F2">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27185E0"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14:paraId="3829CD86"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vAlign w:val="center"/>
            <w:hideMark/>
          </w:tcPr>
          <w:p w14:paraId="36BE5DC7"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r>
    </w:tbl>
    <w:p w14:paraId="2ED33C19" w14:textId="77777777" w:rsidR="00D308F2" w:rsidRDefault="00D308F2" w:rsidP="00D308F2">
      <w:pPr>
        <w:widowControl/>
        <w:jc w:val="left"/>
        <w:rPr>
          <w:rFonts w:ascii="ＭＳ Ｐゴシック" w:eastAsia="ＭＳ Ｐゴシック" w:hAnsi="ＭＳ Ｐゴシック" w:cs="ＭＳ Ｐゴシック"/>
          <w:kern w:val="0"/>
          <w:sz w:val="24"/>
          <w:szCs w:val="24"/>
        </w:rPr>
      </w:pPr>
    </w:p>
    <w:p w14:paraId="5FEAFA8E" w14:textId="77777777" w:rsidR="00D308F2" w:rsidRDefault="00D308F2" w:rsidP="00D308F2">
      <w:pPr>
        <w:widowControl/>
        <w:jc w:val="left"/>
        <w:rPr>
          <w:rFonts w:ascii="ＭＳ Ｐゴシック" w:eastAsia="ＭＳ Ｐゴシック" w:hAnsi="ＭＳ Ｐゴシック" w:cs="ＭＳ Ｐゴシック"/>
          <w:kern w:val="0"/>
          <w:sz w:val="24"/>
          <w:szCs w:val="24"/>
        </w:rPr>
      </w:pPr>
    </w:p>
    <w:p w14:paraId="58BB5FC9" w14:textId="77777777" w:rsidR="00D308F2" w:rsidRDefault="00D308F2" w:rsidP="00D308F2">
      <w:pPr>
        <w:widowControl/>
        <w:jc w:val="left"/>
        <w:rPr>
          <w:rFonts w:ascii="ＭＳ Ｐゴシック" w:eastAsia="ＭＳ Ｐゴシック" w:hAnsi="ＭＳ Ｐゴシック" w:cs="ＭＳ Ｐゴシック"/>
          <w:kern w:val="0"/>
          <w:sz w:val="24"/>
          <w:szCs w:val="24"/>
        </w:rPr>
      </w:pPr>
    </w:p>
    <w:p w14:paraId="393A3F84" w14:textId="549AFBD1"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lastRenderedPageBreak/>
        <w:t>別表第2(第4，5条関係)</w:t>
      </w:r>
    </w:p>
    <w:tbl>
      <w:tblPr>
        <w:tblW w:w="0" w:type="auto"/>
        <w:tblCellMar>
          <w:top w:w="15" w:type="dxa"/>
          <w:left w:w="15" w:type="dxa"/>
          <w:bottom w:w="15" w:type="dxa"/>
          <w:right w:w="15" w:type="dxa"/>
        </w:tblCellMar>
        <w:tblLook w:val="04A0" w:firstRow="1" w:lastRow="0" w:firstColumn="1" w:lastColumn="0" w:noHBand="0" w:noVBand="1"/>
      </w:tblPr>
      <w:tblGrid>
        <w:gridCol w:w="583"/>
        <w:gridCol w:w="2547"/>
        <w:gridCol w:w="1674"/>
        <w:gridCol w:w="2203"/>
        <w:gridCol w:w="1481"/>
      </w:tblGrid>
      <w:tr w:rsidR="00D308F2" w:rsidRPr="00D308F2" w14:paraId="7C16A027" w14:textId="77777777" w:rsidTr="00D308F2">
        <w:trPr>
          <w:trHeight w:val="240"/>
        </w:trPr>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AA36ED7"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bookmarkStart w:id="3" w:name="13000089101000000019"/>
            <w:bookmarkStart w:id="4" w:name="13000089101000000020"/>
            <w:bookmarkStart w:id="5" w:name="13000089101000000021"/>
            <w:bookmarkEnd w:id="3"/>
            <w:bookmarkEnd w:id="4"/>
            <w:bookmarkEnd w:id="5"/>
            <w:r w:rsidRPr="00D308F2">
              <w:rPr>
                <w:rFonts w:ascii="ＭＳ Ｐゴシック" w:eastAsia="ＭＳ Ｐゴシック" w:hAnsi="ＭＳ Ｐゴシック" w:cs="ＭＳ Ｐゴシック"/>
                <w:kern w:val="0"/>
                <w:sz w:val="24"/>
                <w:szCs w:val="24"/>
              </w:rPr>
              <w:t>補助事業名</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ADFF750"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木造住宅耐震改修工事費補助事業</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D1F7D4C"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非木造住宅耐震改修工事費補助事業</w:t>
            </w:r>
          </w:p>
        </w:tc>
      </w:tr>
      <w:tr w:rsidR="00D308F2" w:rsidRPr="00D308F2" w14:paraId="0B70A060" w14:textId="77777777" w:rsidTr="00D308F2">
        <w:trPr>
          <w:trHeight w:val="240"/>
        </w:trPr>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B0AE651"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補助対象経費</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C326580"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既存木造住宅の所有者が登録工務店に依頼して行った耐震改修工事</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46CC28D"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既存非木造住宅の所有者が建設業者に依頼して行った耐震改修工事</w:t>
            </w:r>
          </w:p>
        </w:tc>
      </w:tr>
      <w:tr w:rsidR="00D308F2" w:rsidRPr="00D308F2" w14:paraId="07978402" w14:textId="77777777" w:rsidTr="00D308F2">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AC52DCE"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4"/>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97B3B1B"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耐震補強に明らかに寄与しない工事で費用を分離すべきものは、当該工事を分離して算定し補助対象経費から除外する。</w:t>
            </w:r>
          </w:p>
        </w:tc>
      </w:tr>
      <w:tr w:rsidR="00D308F2" w:rsidRPr="00D308F2" w14:paraId="55C1FCE1" w14:textId="77777777" w:rsidTr="00D308F2">
        <w:trPr>
          <w:trHeight w:val="240"/>
        </w:trPr>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AAFE451"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補助要件</w:t>
            </w:r>
          </w:p>
        </w:tc>
        <w:tc>
          <w:tcPr>
            <w:tcW w:w="0" w:type="auto"/>
            <w:gridSpan w:val="4"/>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8D6DBFB"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次に掲げる事項の全てに該当するもの</w:t>
            </w:r>
          </w:p>
        </w:tc>
      </w:tr>
      <w:tr w:rsidR="00D308F2" w:rsidRPr="00D308F2" w14:paraId="5F4100BA" w14:textId="77777777" w:rsidTr="00D308F2">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E0F35A2"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8893EEC"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①住宅の所有者が選任した耐震診断士が耐震改修工事の現場確認等を実施するもの</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43FD0FB"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①構造設計一級建築士等が耐震改修工事の現場確認等を実施するもの</w:t>
            </w:r>
          </w:p>
        </w:tc>
      </w:tr>
      <w:tr w:rsidR="00D308F2" w:rsidRPr="00D308F2" w14:paraId="5537C99A" w14:textId="77777777" w:rsidTr="00D308F2">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BC5CDB7"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E71BFC5"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②耐震診断士が木造住宅耐震診断事業の結果、上部構造評点のうち最小の値(以下「評点」という。)が1.0未満と診断された住宅に係るもの</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7CD6BDAE"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②非木造住宅耐震診断事業の結果、「安全でない」と判断された住宅に係るもの</w:t>
            </w:r>
          </w:p>
        </w:tc>
      </w:tr>
      <w:tr w:rsidR="00D308F2" w:rsidRPr="00D308F2" w14:paraId="63C42862" w14:textId="77777777" w:rsidTr="00D308F2">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83DE97E"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5A336ABA"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③次のいずれかに該当するもの</w:t>
            </w:r>
            <w:r w:rsidRPr="00D308F2">
              <w:rPr>
                <w:rFonts w:ascii="ＭＳ Ｐゴシック" w:eastAsia="ＭＳ Ｐゴシック" w:hAnsi="ＭＳ Ｐゴシック" w:cs="ＭＳ Ｐゴシック"/>
                <w:kern w:val="0"/>
                <w:sz w:val="24"/>
                <w:szCs w:val="24"/>
              </w:rPr>
              <w:br/>
              <w:t>ア　標準型</w:t>
            </w:r>
            <w:r w:rsidRPr="00D308F2">
              <w:rPr>
                <w:rFonts w:ascii="ＭＳ Ｐゴシック" w:eastAsia="ＭＳ Ｐゴシック" w:hAnsi="ＭＳ Ｐゴシック" w:cs="ＭＳ Ｐゴシック"/>
                <w:kern w:val="0"/>
                <w:sz w:val="24"/>
                <w:szCs w:val="24"/>
              </w:rPr>
              <w:br/>
              <w:t>認定ソフトの精密診断法により診断し、改修後の評点が1.0以上となるもの</w:t>
            </w:r>
            <w:r w:rsidRPr="00D308F2">
              <w:rPr>
                <w:rFonts w:ascii="ＭＳ Ｐゴシック" w:eastAsia="ＭＳ Ｐゴシック" w:hAnsi="ＭＳ Ｐゴシック" w:cs="ＭＳ Ｐゴシック"/>
                <w:kern w:val="0"/>
                <w:sz w:val="24"/>
                <w:szCs w:val="24"/>
              </w:rPr>
              <w:br/>
              <w:t>イ　1階改修型</w:t>
            </w:r>
            <w:r w:rsidRPr="00D308F2">
              <w:rPr>
                <w:rFonts w:ascii="ＭＳ Ｐゴシック" w:eastAsia="ＭＳ Ｐゴシック" w:hAnsi="ＭＳ Ｐゴシック" w:cs="ＭＳ Ｐゴシック"/>
                <w:kern w:val="0"/>
                <w:sz w:val="24"/>
                <w:szCs w:val="24"/>
              </w:rPr>
              <w:br/>
              <w:t>認定ソフトの精密診断法により診断し、改修後の1階部分の上部構造評点が1.0以上となるもの</w:t>
            </w:r>
            <w:r w:rsidRPr="00D308F2">
              <w:rPr>
                <w:rFonts w:ascii="ＭＳ Ｐゴシック" w:eastAsia="ＭＳ Ｐゴシック" w:hAnsi="ＭＳ Ｐゴシック" w:cs="ＭＳ Ｐゴシック"/>
                <w:kern w:val="0"/>
                <w:sz w:val="24"/>
                <w:szCs w:val="24"/>
              </w:rPr>
              <w:br/>
              <w:t>ウ　特殊型</w:t>
            </w:r>
            <w:r w:rsidRPr="00D308F2">
              <w:rPr>
                <w:rFonts w:ascii="ＭＳ Ｐゴシック" w:eastAsia="ＭＳ Ｐゴシック" w:hAnsi="ＭＳ Ｐゴシック" w:cs="ＭＳ Ｐゴシック"/>
                <w:kern w:val="0"/>
                <w:sz w:val="24"/>
                <w:szCs w:val="24"/>
              </w:rPr>
              <w:br/>
              <w:t>ア又はイと同等以上の耐震性があると県が認めたもの</w:t>
            </w:r>
          </w:p>
        </w:tc>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1924741"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③耐震改修工事について構造設計一級建築士等により「安全性」が確認されたもの</w:t>
            </w:r>
          </w:p>
        </w:tc>
      </w:tr>
      <w:tr w:rsidR="00D308F2" w:rsidRPr="00D308F2" w14:paraId="513AC702" w14:textId="77777777" w:rsidTr="00D308F2">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74E120A"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4"/>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916F828"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北川村住宅耐震改修設計費補助事業を終了していること。</w:t>
            </w:r>
          </w:p>
        </w:tc>
      </w:tr>
      <w:tr w:rsidR="00D308F2" w:rsidRPr="00D308F2" w14:paraId="6DDE3587" w14:textId="77777777" w:rsidTr="00D308F2">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6F18592"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4"/>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A9E16D2"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対象となる既存住宅に、明らかな法令違反がないこと。ただし、耐震改修工事に伴い、法令違反を是正する場合を除く。</w:t>
            </w:r>
          </w:p>
        </w:tc>
      </w:tr>
      <w:tr w:rsidR="00D308F2" w:rsidRPr="00D308F2" w14:paraId="35B85547" w14:textId="77777777" w:rsidTr="00D308F2">
        <w:trPr>
          <w:trHeight w:val="240"/>
        </w:trPr>
        <w:tc>
          <w:tcPr>
            <w:tcW w:w="0" w:type="auto"/>
            <w:vMerge w:val="restar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0B86193"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補助額</w:t>
            </w:r>
            <w:r w:rsidRPr="00D308F2">
              <w:rPr>
                <w:rFonts w:ascii="ＭＳ Ｐゴシック" w:eastAsia="ＭＳ Ｐゴシック" w:hAnsi="ＭＳ Ｐゴシック" w:cs="ＭＳ Ｐゴシック"/>
                <w:kern w:val="0"/>
                <w:sz w:val="24"/>
                <w:szCs w:val="24"/>
              </w:rPr>
              <w:lastRenderedPageBreak/>
              <w:t>(上限)</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3C83FCAD"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lastRenderedPageBreak/>
              <w:t>戸建住宅及び併用住宅</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E813C23"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共同住宅及び長屋</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EECCE00"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戸建住宅及び併用住宅</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DA7B42F"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共同住宅及び長屋</w:t>
            </w:r>
          </w:p>
        </w:tc>
      </w:tr>
      <w:tr w:rsidR="00D308F2" w:rsidRPr="00D308F2" w14:paraId="5A9AC0FD" w14:textId="77777777" w:rsidTr="00D308F2">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BAC5556"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1D52CE90"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非課税世帯：2,400,000円</w:t>
            </w:r>
            <w:r w:rsidRPr="00D308F2">
              <w:rPr>
                <w:rFonts w:ascii="ＭＳ Ｐゴシック" w:eastAsia="ＭＳ Ｐゴシック" w:hAnsi="ＭＳ Ｐゴシック" w:cs="ＭＳ Ｐゴシック"/>
                <w:kern w:val="0"/>
                <w:sz w:val="24"/>
                <w:szCs w:val="24"/>
              </w:rPr>
              <w:br/>
              <w:t>その他世帯：1,200,000円＋(残りの工事費(上限:1,200,000円)×2/3)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0CCB29C8"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600,000円／戸かつ2,400,000円／棟</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90E8B5C"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非課税世帯：2,400,000円</w:t>
            </w:r>
            <w:r w:rsidRPr="00D308F2">
              <w:rPr>
                <w:rFonts w:ascii="ＭＳ Ｐゴシック" w:eastAsia="ＭＳ Ｐゴシック" w:hAnsi="ＭＳ Ｐゴシック" w:cs="ＭＳ Ｐゴシック"/>
                <w:kern w:val="0"/>
                <w:sz w:val="24"/>
                <w:szCs w:val="24"/>
              </w:rPr>
              <w:br/>
              <w:t>その他世帯：1,200,000円＋(残りの工事費(上限:1,200,000円)×2/3)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6E0540FB"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600,000円／戸かつ2,400,000円／棟</w:t>
            </w:r>
          </w:p>
        </w:tc>
      </w:tr>
      <w:tr w:rsidR="00D308F2" w:rsidRPr="00D308F2" w14:paraId="52C729D6" w14:textId="77777777" w:rsidTr="00D308F2">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DEA81A6"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4"/>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287CB20B"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補助金の額に1,000円未満の端数を生じた場合は、これを切り捨てる。</w:t>
            </w:r>
          </w:p>
        </w:tc>
      </w:tr>
      <w:tr w:rsidR="00D308F2" w:rsidRPr="00D308F2" w14:paraId="10223CC8" w14:textId="77777777" w:rsidTr="00D308F2">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D9CC86A"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p>
        </w:tc>
        <w:tc>
          <w:tcPr>
            <w:tcW w:w="0" w:type="auto"/>
            <w:gridSpan w:val="4"/>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14:paraId="42C163E6" w14:textId="77777777" w:rsidR="00D308F2" w:rsidRPr="00D308F2" w:rsidRDefault="00D308F2" w:rsidP="00D308F2">
            <w:pPr>
              <w:widowControl/>
              <w:jc w:val="left"/>
              <w:rPr>
                <w:rFonts w:ascii="ＭＳ Ｐゴシック" w:eastAsia="ＭＳ Ｐゴシック" w:hAnsi="ＭＳ Ｐゴシック" w:cs="ＭＳ Ｐゴシック"/>
                <w:kern w:val="0"/>
                <w:sz w:val="24"/>
                <w:szCs w:val="24"/>
              </w:rPr>
            </w:pPr>
            <w:r w:rsidRPr="00D308F2">
              <w:rPr>
                <w:rFonts w:ascii="ＭＳ Ｐゴシック" w:eastAsia="ＭＳ Ｐゴシック" w:hAnsi="ＭＳ Ｐゴシック" w:cs="ＭＳ Ｐゴシック"/>
                <w:kern w:val="0"/>
                <w:sz w:val="24"/>
                <w:szCs w:val="24"/>
              </w:rPr>
              <w:t>補助対象経費が上記補助額上限を上回る場合かつ補助対象者が工事に伴う家具移動が行えず、それに係る経費が工事費に含まれる場合は18,000円を上記補助金に加算する。</w:t>
            </w:r>
          </w:p>
        </w:tc>
      </w:tr>
    </w:tbl>
    <w:p w14:paraId="26649386" w14:textId="77777777" w:rsidR="002B2318" w:rsidRDefault="002B2318"/>
    <w:sectPr w:rsidR="002B231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679"/>
    <w:rsid w:val="002B2318"/>
    <w:rsid w:val="007B6679"/>
    <w:rsid w:val="00D308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B5E1ADC"/>
  <w15:chartTrackingRefBased/>
  <w15:docId w15:val="{3B893F8C-8822-4031-BF5F-F85E66426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4571304">
      <w:bodyDiv w:val="1"/>
      <w:marLeft w:val="0"/>
      <w:marRight w:val="0"/>
      <w:marTop w:val="0"/>
      <w:marBottom w:val="0"/>
      <w:divBdr>
        <w:top w:val="none" w:sz="0" w:space="0" w:color="auto"/>
        <w:left w:val="none" w:sz="0" w:space="0" w:color="auto"/>
        <w:bottom w:val="none" w:sz="0" w:space="0" w:color="auto"/>
        <w:right w:val="none" w:sz="0" w:space="0" w:color="auto"/>
      </w:divBdr>
      <w:divsChild>
        <w:div w:id="449056609">
          <w:marLeft w:val="0"/>
          <w:marRight w:val="0"/>
          <w:marTop w:val="240"/>
          <w:marBottom w:val="0"/>
          <w:divBdr>
            <w:top w:val="none" w:sz="0" w:space="0" w:color="auto"/>
            <w:left w:val="none" w:sz="0" w:space="0" w:color="auto"/>
            <w:bottom w:val="none" w:sz="0" w:space="0" w:color="auto"/>
            <w:right w:val="none" w:sz="0" w:space="0" w:color="auto"/>
          </w:divBdr>
          <w:divsChild>
            <w:div w:id="1857647178">
              <w:marLeft w:val="0"/>
              <w:marRight w:val="0"/>
              <w:marTop w:val="0"/>
              <w:marBottom w:val="0"/>
              <w:divBdr>
                <w:top w:val="none" w:sz="0" w:space="0" w:color="auto"/>
                <w:left w:val="none" w:sz="0" w:space="0" w:color="auto"/>
                <w:bottom w:val="none" w:sz="0" w:space="0" w:color="auto"/>
                <w:right w:val="none" w:sz="0" w:space="0" w:color="auto"/>
              </w:divBdr>
              <w:divsChild>
                <w:div w:id="778378875">
                  <w:marLeft w:val="0"/>
                  <w:marRight w:val="0"/>
                  <w:marTop w:val="0"/>
                  <w:marBottom w:val="0"/>
                  <w:divBdr>
                    <w:top w:val="none" w:sz="0" w:space="0" w:color="auto"/>
                    <w:left w:val="none" w:sz="0" w:space="0" w:color="auto"/>
                    <w:bottom w:val="none" w:sz="0" w:space="0" w:color="auto"/>
                    <w:right w:val="none" w:sz="0" w:space="0" w:color="auto"/>
                  </w:divBdr>
                  <w:divsChild>
                    <w:div w:id="1705671466">
                      <w:marLeft w:val="0"/>
                      <w:marRight w:val="0"/>
                      <w:marTop w:val="0"/>
                      <w:marBottom w:val="0"/>
                      <w:divBdr>
                        <w:top w:val="none" w:sz="0" w:space="0" w:color="auto"/>
                        <w:left w:val="none" w:sz="0" w:space="0" w:color="auto"/>
                        <w:bottom w:val="none" w:sz="0" w:space="0" w:color="auto"/>
                        <w:right w:val="none" w:sz="0" w:space="0" w:color="auto"/>
                      </w:divBdr>
                      <w:divsChild>
                        <w:div w:id="549222978">
                          <w:marLeft w:val="0"/>
                          <w:marRight w:val="0"/>
                          <w:marTop w:val="0"/>
                          <w:marBottom w:val="0"/>
                          <w:divBdr>
                            <w:top w:val="none" w:sz="0" w:space="0" w:color="auto"/>
                            <w:left w:val="none" w:sz="0" w:space="0" w:color="auto"/>
                            <w:bottom w:val="none" w:sz="0" w:space="0" w:color="auto"/>
                            <w:right w:val="none" w:sz="0" w:space="0" w:color="auto"/>
                          </w:divBdr>
                          <w:divsChild>
                            <w:div w:id="103855037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8661996">
          <w:marLeft w:val="0"/>
          <w:marRight w:val="0"/>
          <w:marTop w:val="240"/>
          <w:marBottom w:val="0"/>
          <w:divBdr>
            <w:top w:val="none" w:sz="0" w:space="0" w:color="auto"/>
            <w:left w:val="none" w:sz="0" w:space="0" w:color="auto"/>
            <w:bottom w:val="none" w:sz="0" w:space="0" w:color="auto"/>
            <w:right w:val="none" w:sz="0" w:space="0" w:color="auto"/>
          </w:divBdr>
          <w:divsChild>
            <w:div w:id="1453017640">
              <w:marLeft w:val="0"/>
              <w:marRight w:val="0"/>
              <w:marTop w:val="0"/>
              <w:marBottom w:val="0"/>
              <w:divBdr>
                <w:top w:val="none" w:sz="0" w:space="0" w:color="auto"/>
                <w:left w:val="none" w:sz="0" w:space="0" w:color="auto"/>
                <w:bottom w:val="none" w:sz="0" w:space="0" w:color="auto"/>
                <w:right w:val="none" w:sz="0" w:space="0" w:color="auto"/>
              </w:divBdr>
              <w:divsChild>
                <w:div w:id="904990530">
                  <w:marLeft w:val="0"/>
                  <w:marRight w:val="0"/>
                  <w:marTop w:val="0"/>
                  <w:marBottom w:val="0"/>
                  <w:divBdr>
                    <w:top w:val="none" w:sz="0" w:space="0" w:color="auto"/>
                    <w:left w:val="none" w:sz="0" w:space="0" w:color="auto"/>
                    <w:bottom w:val="none" w:sz="0" w:space="0" w:color="auto"/>
                    <w:right w:val="none" w:sz="0" w:space="0" w:color="auto"/>
                  </w:divBdr>
                  <w:divsChild>
                    <w:div w:id="1077901195">
                      <w:marLeft w:val="0"/>
                      <w:marRight w:val="0"/>
                      <w:marTop w:val="0"/>
                      <w:marBottom w:val="0"/>
                      <w:divBdr>
                        <w:top w:val="none" w:sz="0" w:space="0" w:color="auto"/>
                        <w:left w:val="none" w:sz="0" w:space="0" w:color="auto"/>
                        <w:bottom w:val="none" w:sz="0" w:space="0" w:color="auto"/>
                        <w:right w:val="none" w:sz="0" w:space="0" w:color="auto"/>
                      </w:divBdr>
                      <w:divsChild>
                        <w:div w:id="1774737596">
                          <w:marLeft w:val="0"/>
                          <w:marRight w:val="0"/>
                          <w:marTop w:val="0"/>
                          <w:marBottom w:val="0"/>
                          <w:divBdr>
                            <w:top w:val="none" w:sz="0" w:space="0" w:color="auto"/>
                            <w:left w:val="none" w:sz="0" w:space="0" w:color="auto"/>
                            <w:bottom w:val="none" w:sz="0" w:space="0" w:color="auto"/>
                            <w:right w:val="none" w:sz="0" w:space="0" w:color="auto"/>
                          </w:divBdr>
                          <w:divsChild>
                            <w:div w:id="66246754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251</Words>
  <Characters>1432</Characters>
  <Application>Microsoft Office Word</Application>
  <DocSecurity>0</DocSecurity>
  <Lines>11</Lines>
  <Paragraphs>3</Paragraphs>
  <ScaleCrop>false</ScaleCrop>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2025-07-31T10:38:00Z</dcterms:created>
  <dcterms:modified xsi:type="dcterms:W3CDTF">2025-07-31T10:39:00Z</dcterms:modified>
</cp:coreProperties>
</file>